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650B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СРЕДА</w:t>
      </w:r>
    </w:p>
    <w:p w:rsidR="00000000" w:rsidRDefault="00E6650B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попр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102-01-35/13.12.2001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Приложно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поколения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биогеографска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политики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антропогенни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вибрации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волеизявления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невъзобновими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2021/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(LIFE)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1293/2013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172/53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зауствания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интелектуална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редоставило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консолидираната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фискална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околната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среда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водите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Изпълнителната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агенция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по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околна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среда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166/2006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91/689/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96/61/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166/2006",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166/2006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достоверността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7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166/2006.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асегнатото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наднормено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8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-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20 - 22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ОТПАДЪЦИТЕ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обекти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поколения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благоприятното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зстановяване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незаменим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невъзстановим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многофункционалната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предхождащо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хвостохранилища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сгуроотвали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недра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катастрофи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геотермална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разноо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бразие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благоприятното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въздух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озоновия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озоновия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отпадъците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рециклиране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рециклиране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регенериране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рециклирането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вибрации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живак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прахови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портфейлни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консолидират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бизнеса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9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Осемдесет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Осемдесет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прахови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НДЕФ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суапови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портфейлни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НДЕФ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0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фиксиран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нарастващи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увреж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викала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въздействат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тенденциите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23.06.2009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реагирането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ецификата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позовават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ръководейки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програми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уязвимост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йерархия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уязвимостта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90.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аспекти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внимание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рхеологическо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резюме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първоинстанционния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102.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предложения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23.06.2009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Финландия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23.06.2009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1069/2009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1774/2002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300/1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жизнената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нестабилните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внимание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изобилие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подпочвени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абсорбционен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мочурища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гъстонаселени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сграничния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чувствителност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аспектите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очакваните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избягване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първоинстанционния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сондажи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неконвенционални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шистов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взаимовръзката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внимание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1 - 4.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уязвимостта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подпочвен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вибрации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нейонизиращи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аспекти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сценарий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еволюция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сценарий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уплътняване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хидроморфологични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аспекти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вибрации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ейонизиращи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катастрофи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уязвимостта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избягване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уязвимостта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смекчаване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реагиране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резюме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трудностите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121;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отразяващи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непроизнасяне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евентуално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предполагаемо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местожителството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първоинстанционния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highlight w:val="white"/>
          <w:shd w:val="clear" w:color="auto" w:fill="FEFEFE"/>
        </w:rPr>
        <w:t>Държавна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такса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касационно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производство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обжалване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решението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ОВОС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определя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реда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кодекс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върху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определяем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материален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интерес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заустване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доминото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природозащитно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/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/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1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околната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среда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водите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ОМИШЛЕНОТО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ЗАМЪРСЯВАНЕ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заобикаляща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доминото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боеприпасите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пиротехническите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йонизираща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кейове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тръбопроводи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компресорни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сондажни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миннодобивни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хвостохранилища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шламохранилища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миннодобивни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хвостохран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шламохранилища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109 - 115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природозащитна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чувствителност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изграж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коментарите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сценарии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ългосрочни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неконтролируемо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реагирането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тренировки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коментари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тренировки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Хелзинки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(e-MARS);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103,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(e-SPIRS);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5 - 8.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2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14.10.2016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мълчаливо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3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отенциално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коментари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109 - 115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hyperlink r:id="rId1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утежняващи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Изпълнителната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агенция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по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околна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среда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квазиаварии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реагирането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112 - 116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доминото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доминото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разрешителни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(*))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(*))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(*))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рециклиране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избягва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избягване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сегашното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рециклиране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121;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требяваните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резюме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равнопоставеност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внезапни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119;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несъразмерно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заглавието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инциденти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ПУРБ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фицирано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(*))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инциденти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инциденти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7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8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(*))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(*))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(EMAS)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1221/2009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(EMAS)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761/2001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2001/681/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2006/193/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L 342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1221/2009";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66/2010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27/1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66/2010".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1221/2009.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1221/2009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EMAS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O)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1221/2009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1221/2009.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221/2009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EMAS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1221/2009.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66/2010.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66/2010.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13.04.2007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Международна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зелени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тиции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Превантивен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последващ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извънпланови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чувствителността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(EMAS)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1221/2009.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инциденти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извънпланови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адекватно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6,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108.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доминото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квазиавария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инцидент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пробонабиране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роятностите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1221/2009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66/2010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2019/1020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2004/42/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765/2008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305/2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011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169/1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EMAS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АЗАТЕЛНА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ОТГОВОРНОСТ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пломбиране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пломбата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пломбиране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158.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оизводствено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тръбопровод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66/2010,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EMAS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1221/2009,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ДППГА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6,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3,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ОТГОВОРНОСТ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антропогенни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лияят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равновесие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деградацията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неорганичната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съпоставими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темповете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невъзобновими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антропогенен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обобщена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жизнено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кръговрати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металоиди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пестициди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нефтопродукти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деградация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антропогенни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аспекти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преовлажняване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изкопаеми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юрисдикцията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юрисдикцията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резюме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нагледни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23.06.2009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тръбопроводи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кейове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доминото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утежняване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резидентна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общежития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музикални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стадиони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театри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киносалони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супермаркети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Дискомфорт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раздразнението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неудобствата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попад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непроменена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йонизиращи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вибрации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неподвижно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непрякото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вибрации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неорганизирани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въздухоплавателни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напредналият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жизнени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внимание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корпорация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предполагаемото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Пломбиране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пломба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лепенка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мокър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поколения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стремежа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нарастващ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жизнен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внезапна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наднормено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жертви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характеризиращи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антропогенни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достоверна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1272/2008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67/548/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1999/45/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1907/2006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353/1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продукт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неконтролируеми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сериозна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прогресивно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предпоставки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70.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адекватност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кокошки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токачки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пъдпъдъци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гълъби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яребици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щраусовид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щрауси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яйца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Неконвенционални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порестост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проницаемост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евентуално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незначителен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надеждна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2012/18/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/82/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197/1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2009/30/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98/70/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дизеловото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газьола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1999/32/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93/12/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140/88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2009).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2010/75/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334/17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2014/52/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2011/92/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124/1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незапочнати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хвостохранилища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сгуроотвали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16.10.2009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лигнитни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непреодолими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23.06.2009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23.06.2009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96 - 98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препарати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196: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197: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60 - 64,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14 - 17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въздухоплавателно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въздухоплавателно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въздухоплавателно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въздухоплавателни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ХХХ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I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АДЪЦИТЕ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2007 - 1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редуцирани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редуцирани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съфинансирана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2007 - 1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препарати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ИЗМЕРВАНИЯТА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§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15,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3,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§ 78, § 79, §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107,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125, § 128,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34,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ВОДИТЕ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ВЪЗДУХ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СЧЕТОВОДСТВОТО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ЛЕКАРСТВЕНИТЕ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ХУМАННАТА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МЕДИЦИНА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13.04.2007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77, 88,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65, 82, 99,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извънредните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 . . 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65,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2 - 10,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13 - 22, § 24 - 35, §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37 - 51, §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53 - 64,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НАСЛЕДСТВО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12.05.200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ВОДИТЕ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23.06.2009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26, 29, 30, 32 - 36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16.10.2009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2, 21, 36, 39, 41, 44, 45, 49, 50, 51, 53, 55, 56, 57, 59, 62, 63, 64, 65,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. . . . . . . . . . . . . . . . . . . . . . . . . . . . . . . . . . .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ИЗТОЧНИЦИ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4, 5, 6, 7, 8, 9, 10,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Междуведомствената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2008 - 2012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Междуведомствената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-396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 . . . . . . . .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91.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W;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циментен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клинкер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4.1 - 4.6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5.3.1,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5.3.2, 5.5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6.4.2,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6.9, 6.10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W;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4.1 - 4.6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5.3.1,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5.3.2, 5.5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6.4.2,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20 - 42, §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43 - 58, §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W;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1.2, 1.3, 1.4,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2.1 - 2.6, 3.1 - 3.5;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4.1 - 4.6 -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5.3.1,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5.4, 6.1,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6.2, 6.3, 6.4.1, 6.4.2,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6.4.3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6.5 - 6.9;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СЛУЖИТЕЛ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18.05.2012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здравноосигурителна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ОТПАДЪЦИТЕ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18, § 114, § 120, § 121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77, 88,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65, 82, 99,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19, 32, 35, 47, 82,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38,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77, 88,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65, 82, 99,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19, 32, 35, 47, 82,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38,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24,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9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24,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СЧЕТОВОДСТВОТО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48 - 52,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ВЪЗДУХ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6 - 8,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13, § 14, § 18 - 20, § 23, § 26 - 31, §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33 - 39, § 41 - 48, §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§ 50 -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59, § 61 - 65, § 81 - 85, §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§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92, §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97 - 101,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69 - 72, §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70, §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70, §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70, §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77, 88,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65, 82, 99,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19, 32, 35, 47, 82,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38,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95,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88,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ХИМИЧНИТЕ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4, 11, 14, 16, 20, 30, 31, 74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§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водовземни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водовземни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водовземното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задтръбното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кладенец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кладенеца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5, 6, §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8, 10 - 12, §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16, 17, 21 - 26,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резидентна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военноинвалидите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ннопострадалите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резидентна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изостаналост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корпоративното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резидентна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изостаналост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§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6, §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36,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ВЪЗДУХ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ПРОИЗВОДИТЕЛИ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77, 88,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65, 82, 99,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19, 32, 35, 47, 82,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38,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95,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12, 58,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Рафинерии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смазочни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втечняване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битуминозни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MW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демонтаж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обогатени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обогатяване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радиоактивност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погребване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погребване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радиоактивни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радиоактивни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чугун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стомана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металургични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електролитни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азбестоциментовите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фрикционни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фосфорни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калиеви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еднокомпонентни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биоциди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фармацевтични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фериботи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подхранване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подхранване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водопотребл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осреднено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тръбопроводи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Сондажи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неконвенционални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шистов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Тръбопроводи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(CO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мпресорни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85 000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бройлери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60 000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кокошки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носачки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900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целулозна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влакнести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220 kV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нефтопродукти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CO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CO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мегатона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лифтове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Инвестиционни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стопанство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комасация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селскостопански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използване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необработваеми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полупустеещи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интензивни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селскостопански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мелиоративни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селското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стопанство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напояване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пресушаван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залесяване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обезлесяване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промяна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интензивно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животновъдство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инвестиционни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предложения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интензивно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развъждане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риба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пресушаване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морето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кариери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открити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рудници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добив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торф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добив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изземване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инертни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материали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езера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море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чрез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драгиране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дълбоки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сондажи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геотермални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съхраняване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ядрени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отпадъци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водос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набдяване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изключение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изследване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стабилността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геоложката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.)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добив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промишлени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въглища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нефт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природен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битуминозни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всички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проучвателни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сондажи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нефт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Енергийно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стопанство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промишлени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електроенергия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промишлени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пренос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пренос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електроенергия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надземно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складиране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природен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складиране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надземно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складиране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промишлено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брикет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иране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въглища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преработка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съхраняване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радиоактивни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отпадъци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водноелектрически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централи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електроенергия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посредством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вятъра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улавяне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потоци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CO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съхранение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геоложки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обхванати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преработка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чугун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стомана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вторично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непрекъснато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преработка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горещо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валцуване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ковашко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пресоване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защитни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покрития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разтопен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цветни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сплави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изключение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благородните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изтегляне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формоване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валцуване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изделия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цветни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сплави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повърхностна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обработка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пластмаси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чрез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електролитни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химични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процеси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монтаж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моторни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превозни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автомобилни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двигатели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корабост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роителници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ремонт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самолети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извършвани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взривни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пържене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агломерация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продукти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нерудни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минерални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суровини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коксови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суха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дестилация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въглища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98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27.11.2018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азбест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азбестови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изделия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стъкло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стъклени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влакна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минерални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минерални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влакна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керамични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изделия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чрез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керемиди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тухли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огнеупорни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тухли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плочи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керамични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порцеланови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химическата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промишленост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обработка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междинни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продукти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химични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пестициди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фармацевтични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продукти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лакове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еластомери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пероксиди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съхраняване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нефт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нефтопродукти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химически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7.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Предприятия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хранителната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промишленост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растителни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животински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мазнини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пакетиране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консервиране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растителн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животински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продукти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млечни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продукти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захарни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изделия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сиропи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промишлено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нишесте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рибно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брашно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рибно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захар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Текстилна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кожарска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дървообработваща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промишленост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промишлени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картон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предварителна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обработка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операции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избелване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мерсеризиране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боядисване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влакна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текстил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обработка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преработване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улоза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Каучукова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промишленост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преработка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продукти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базата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еластомери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Инфраструктурни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инвестиционни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предложения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21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2021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изграждане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индустриални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паркове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62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14.08.2015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.)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урбанизирано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развитие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строителство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търговски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центрове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паркинги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строителство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линии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комбиниран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превоз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терминали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строителство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летища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строителство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пътища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строителство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пристанища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пристанищни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рибарски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пристанища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98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27.11.2018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строителство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вътрешни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пътища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изграждане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канали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аварийни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срещу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наводнения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язовири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събиране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съхраняване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продължително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време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трамвайни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трасета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железници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висящи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линии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превоз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главно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пътници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нефтопроводи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газопроводи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свързани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тях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тръбопроводи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пренос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потоци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CO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съхранение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геоложки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аквадукти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далечен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пренос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крайбрежна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борба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ерозията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крайбрежни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бреговата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изграждане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вълноломи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защитни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морски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изключение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ремонт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реконструкция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схеми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добив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изкуствено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подхранване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прехвърляне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ресурси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басейни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инвестиционни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предложения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постоянни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състезателни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изпитване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моторни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превозни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42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2022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07.06.2022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депа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отпадъци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обезвр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еждане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оползотворяване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отпадъци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площадки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извършване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оползотворяване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R13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отпадъци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19 12 04, 19 12 10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19 12 12;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пречиствателни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станции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отпадъчни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депа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утайки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пречиствателни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станции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съхраняване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метален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скрап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скрап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моторни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превозни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изпитване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двигатели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турбини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реактори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уствени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минерални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влакна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предприятие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съхраняване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обезвреждане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унищожаване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взривни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изделия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тях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инсталации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обезвреждане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оползот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животински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трупове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животински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отпадъци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Туризъм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отдих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влекове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лифтове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тях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морски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ваканционни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хотелски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комплекси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извън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урбанизирани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съпътстващи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невключени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постоянни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къмпинги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паркиране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каравани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паркове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специално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24.04.2012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спортни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рекреационни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комплекси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извън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урбанизирани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6650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1185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47"/>
        <w:gridCol w:w="851"/>
        <w:gridCol w:w="709"/>
        <w:gridCol w:w="1417"/>
        <w:gridCol w:w="567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класифицирани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прилагат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праговете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минимални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количества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колони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дадено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изброени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2,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класификацията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трябва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прилагат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праговете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минимални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количества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колони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Категории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всички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попадащи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left w:w="0" w:type="dxa"/>
              <w:right w:w="2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left w:w="0" w:type="dxa"/>
              <w:right w:w="2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75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0"/>
                <w:szCs w:val="10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съответствие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Регламент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1272/2008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sz w:val="10"/>
                <w:szCs w:val="10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Прагови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количества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тонове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75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highlight w:val="white"/>
                <w:shd w:val="clear" w:color="auto" w:fill="FEFEF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sz w:val="18"/>
                <w:szCs w:val="18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Нисък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рисков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потенциал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sz w:val="18"/>
                <w:szCs w:val="18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рисков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потенциал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Раздел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"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здравето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Остра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токсичност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всички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ътища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експозиция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Остра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токсичност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всички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пътища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експозиция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инхалаторен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експозиция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Специфична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токсичност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еднократна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експозиция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STOT SE,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Раздел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"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Физични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Експлозиви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8)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Нестабилни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експлозиви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Експлозиви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подкласове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1.1, 1.2, 1.3, 1.5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1.6,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експлозивни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свойства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съгласно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Регламент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440/2008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Комисията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2008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установяване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методи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изпитване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съгласно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Регламент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1907/2006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Европейския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парламент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Съвета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относно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регистрацията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оценката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разрешаването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ограничаването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химикали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(REACH)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 L 142, 31.5.20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08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1)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принадлежат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класовете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пероксиди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самоактивиращи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Експлозиви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8)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Експлозиви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подклас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1.4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газове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аерозоли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11.1)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"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аерозоли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150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тегло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тегло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розоли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11.1)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"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аерозоли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несъдържащи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11.2)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5 000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тегло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50 000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тегло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Оксидиращи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газове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Оксидиращи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държат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температура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кипене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пламна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температура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≤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60 °C,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държат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мпература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кипене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12)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специфични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условия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експлоатация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например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налягане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температура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създадат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аварии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пламна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температура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≤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60 °C,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специфични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условия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експлоатация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например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налягане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температура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създадат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големи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аварии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12)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обхванати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Самоактивиращи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пероксиди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br/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Самоактивиращи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B,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пероксиди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Самоактивиращ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пероксиди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Самоактивиращи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C, D, E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F,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пероксиди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C, D, E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F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Пирофорни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Пирофорни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Пирофорни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Оксидиращи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Оксидиращи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течности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1, 2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Оксидиращи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1, 2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Раздел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"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околната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Остра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Хронична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Хронична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Раздел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"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предупреждение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EUH014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контакт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отделят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предупреждение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EUH029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Поименно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изброени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Прагови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количества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тонове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E6650B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S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Нисък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рисков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потенциал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рисков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потенциал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Амониев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нитрат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Амониев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нитрат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14)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Амониев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нитрат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2 500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Амониев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нитрат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16)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Калиев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нитрат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Калиев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нитрат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Арсенов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пентаоксид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арсенова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(V)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киселина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солите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1303-28-2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Арсенов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триоксид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арсениста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(III)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киселина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солите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1327-53-3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7726-95-6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Хлор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7782-50-5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Никелови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съединения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прахообразно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лесно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вдишване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състояние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: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никелов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моноксид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никелов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диоксид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никелов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сулфид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триникелов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дисулфид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диникелов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триоксид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Етиленимин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151-56-4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13.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Флуор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7782-41-4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14.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Формалдехид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концентрация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≥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90 %)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50-00-0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15.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Водород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1333-74-0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16.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Хлороводород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втечнен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7647-01-0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17.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Оловни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алкили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18.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Втечнени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втечнен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нефт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природен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19.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Ацетилен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74-86-2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20.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Етилен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оксид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75-21-8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21.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Пропиленоксид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75-56-9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22.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Метанол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67-56-1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23. 4,4'-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метилен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(2-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хлоранилин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прахообразно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състояние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101-14-4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24.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Метилизоцианат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624-83-9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25.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Кислород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7782-44-7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26. 2,4-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толуол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диизоцианат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br/>
              <w:t>      2,6-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толуол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диизоцианат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584-84-9</w:t>
            </w:r>
          </w:p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91-08-7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27.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Дихлороанхидрид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въглената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киселина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фосген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75-44-5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28.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Арсенов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хидрид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арсин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7784-42-1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29.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Фосфин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фосфорен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трихидрид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7803-51-2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30.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дихлорид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10545-99-0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31.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триоксид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7446-11-9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32.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Полихлордибензофурани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полихлордибензодиоксини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ТХДД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преизчислени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ТХДД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еквивалент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 xml:space="preserve">33.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Следните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канцерогенни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канцерогенни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вещества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концентрации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5 %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теглото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4-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аминобифенил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неговите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бензотрихлорид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бензидин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хлорметил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хлорме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1,2-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диброметан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диетилсулфат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диметил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сулфат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диметилкарбомилхлорид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1,2-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дибром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-3-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хлорпропан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1,2-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диметилхидразин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диметилнитрозамин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хексаметилфосфорен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триамид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хидразин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2-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нафтиламин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4-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нитродиф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1,3-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пропансултон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34.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Нефтопродукти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алтернативни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бензини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лигроини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керосини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реактивно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газьоли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дизелови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домашно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отопление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газьолни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тежки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тернативни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служещи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същите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свойства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отношение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запалимостта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околната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подобни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продуктите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букви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 - 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35.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Анхидриден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амоняк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7664-41-7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36.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трифлуорид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7637-07-2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37.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Сероводород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7783-06-4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38.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Пиперидин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110-89-4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39.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(2-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диметиламино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амин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3030-47-5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40. 3-(2-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етилхексилокси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пропиламин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5397-31-9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41.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натриев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хипохлорит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класифицирани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токсични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организми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H400,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условие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отсъствие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натриев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хипохлорит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сместа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класифицира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токсична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организми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H400,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5 %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активен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хлор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некласифицирани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никоя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останалите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опасност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42.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Пропиламин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107-10-8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43.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бутилов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акрилат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1663-39-4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44. 2-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-3-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бутененитрил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16529-56-9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45.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Тетра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хидро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-3,5-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диметил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-1,3,5,-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тиадиазин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-2-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тион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Дазомет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533-74-4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46.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Метилакрилат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96-33-3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47. 3-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метилпиридин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108-99-6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48. 1-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-3-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хлорпропан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109-70-6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2 000</w:t>
            </w:r>
          </w:p>
        </w:tc>
      </w:tr>
    </w:tbl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1272/2008.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1272/2008,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q1/QU1 + q2/QU2 + q3/QU3 +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q4/QU4 + q5/QU5 +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…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qx =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QUX =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q1/QL1 + q2/QL2 + q3/QL3 + q4/QL4 + q5/QL5 +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…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qx =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QLX =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инхалаторен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оксидиращи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самоактивиращи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пероксиди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пирофорни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оксидиращи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хронична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хронична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1272/2008,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причисляват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поглъщане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H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301),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инхалаторна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дермална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инхалаторна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дермална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1272/2008).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тогава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скрининговата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440/2008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1907/2006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(reach)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142/1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неопаковани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преопаковани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1272/2008.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1272/2008.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2.6.4.5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1272/2008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°C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температура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(5000/10 000):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саморазграждат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фосфат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поташ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саморазграждат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"UN Trough Test"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15,75 % (15,75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24,5 % (24,5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0,4 %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III-2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304/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15,75 %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(1250/5000):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III-2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24,5 %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доломит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варовик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калциев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карбонат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90 %;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15,75 %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сулфат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28 %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(28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доломит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варовик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калциев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карбонат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90 %.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(350/2500):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24,5 %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28 %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0,4 %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28 %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0,2 %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80 %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(10/50):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детонация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рециклиране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15;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III-2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2003/2003.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(5000/10 000):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микрогранули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(1250/5000):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кристали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рафиниран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1 %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кислород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Полихлордибензофурани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полихлордибензодиоксини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полихлордибензофурани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полихлордибензодиоксини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850"/>
        <w:gridCol w:w="1985"/>
        <w:gridCol w:w="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left w:w="20" w:type="dxa"/>
              <w:right w:w="2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Фактор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токсична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еквивалентност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(TEF),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СЗО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2005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2,3,7,8-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ТХДД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2,3,7,8-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ТХДФ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0,1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1,2,3,7,8-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ПХДД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2,3,4,7,8-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ПХДФ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0,3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1,2,3,7,8-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ПХДФ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0,03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1,2,3,4,7,8-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ХсХДД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1,2,3,6,7,8-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ХсХДД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1,2,3,4,7,8-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ХсХДФ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0,1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1,2,3,7,8,9-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ХсХДД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1,2,3,7,8,9-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ХсХДФ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0,1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1,2,3,6,7,8-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ХсХДФ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0,1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2,3,4,6,7,8-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ХсХДФ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0,1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ОХДД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0,0003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1,2,3,4,6,7,8-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ХпХДФ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0,01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1,2,3,4,7,8,9-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ХпХДФ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0,01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ОХДФ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E6650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0,0003</w:t>
            </w:r>
          </w:p>
        </w:tc>
      </w:tr>
    </w:tbl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T =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хепта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O =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Van den Berg et al: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Преизчисляване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вивалентност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бозайници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диоксини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диоксините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5.1, 5.3.1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5.3.2.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MW.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Рафинерии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Коксови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втечняване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MW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пържене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агломериране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серосъдържащи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чугун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стомана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валцуване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стомана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ковашки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цехове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килоджаула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MW;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стомана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Леярни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2.2, 2.3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обогатени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металургични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електролитни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претопяване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сплавяване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2.2, 2.3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леярни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кадмий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пластмаси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електролитни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нерудни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магнезиев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циментен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клинкер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магнезиев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влакна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влакна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керамични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керемиди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тухли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огнеупорни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тухли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каменинови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порцеланови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4.1 - 4.6.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ациклични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ненаситени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алифатни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ароматни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кислородсъдържащи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алдехиди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кетони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карбоксилни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ацетати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епоксидни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серосъдържащи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азотосъдържащи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тривалентния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изоцианати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фосфоросъдържащи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халогеносъдържащи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органометални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пластмаси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синтетични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влакна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влакна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целулозна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синтетичен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каучук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багрила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пигменти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стноактивни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повърхностноактивни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амоняк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хлор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хлороводород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флуор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флуороводород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карбонилхлорид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хромова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флуороводородна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фосфорна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олеум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сернисти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натриев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хидроокс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амониев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хлорид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хлорат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карбонат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натриев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карбонат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перборати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сребърен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калциев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карбид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силиций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силициев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карбид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фосф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калиеви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биоциди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фармацевтични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прегрупиране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препакетиране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5.2;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регенериране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разтворители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рециклиране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регенериране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катализатори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рафиниране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5.3.1.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шлака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пепел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раздробяване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шредиране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анаеробно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5.3.2.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шлака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пепел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раздробяване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шредиране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анаеробно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5.1, 5.2, 5.4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целулозна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влакнести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плоскости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ориентирани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(OSB),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влакна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избелване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мерсеризиране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багрене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влакна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дъбене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6.4.1.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6.4.2.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[300 - (22,5 A)]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6.4.3.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разтворители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щамповане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грундиране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обезмасляване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водонепропус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кливост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оразмеряване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боядисване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импрегниране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разтворители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аморфен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електрографит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графитизиране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CO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разтворители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хоспитализирани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хоспитализиран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евакуация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евакуираните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евакуираните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1000);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сухоземни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природозащитно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езеро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водоносен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II.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квазиаварии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11.03.2014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Летливи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прахови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суспендирани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влакна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Хлор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Флуор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Цианиди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канцерогенни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мутагенни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Полихлорирани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дибензодиоксини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полихлори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дибензофурани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Органохалогенни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Органофосфорни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Органокалаени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канцерогенн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мутагенни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биоакумулируеми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Цианиди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Биоциди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Суспендирани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допринасящи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еутрофикация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фосфати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кислородния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кислород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кислород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Релевантни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Директиви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2015/2193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2014/52/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2011/92/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2012/18/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96/82/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2011/92/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2010/75/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2009/31/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85/337/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2000/60/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2001/80/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2004/35/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2006/12/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2008/1/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1013/2006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2009/30/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98/70/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дизеловото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газьола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1999/32/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пецификацията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93/12/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2009/29/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2003/87/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2008/101/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2003/87/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2008/98/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2008/68/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2008/1/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(INSPIRE)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2006/21/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миннодобивните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2004/35/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2004/101/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2003/87/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Киото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2004/35/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2002/72/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азодикарбонамид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разпенващ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2003/105/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96/82/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2003/87/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96/61/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2003/35/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85/337/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96/61/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90/313/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2001/42/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2001/41/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76/769/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препарати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канцерогенни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мутагенни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репродукцията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1999/45/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препарати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1999/32/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93/12/E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98/70/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дизеловите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93/12/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97/11/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85/337/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96/82/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96/61/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94/55/EO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93/12/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91/689/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85/337/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67/548/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Регламенти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2017/852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1102/2008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1303/2013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1083/2006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1300/2013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1084/2006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1293/2013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(LIFE)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614/2007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389/2013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2003/87/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280/2004/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406/2009/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920/2010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1193/2011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10/2011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пластмаси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1031/2010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аспекти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2003/87/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920/2010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2003/87/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280/2004/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66/2010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1221/2009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(EMAS)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761/2001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2001/681/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2006/193/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1774/2002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748/2009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въздухоплавателни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03/87/E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въздухоплавателни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1272/2008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67/548/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1999/45/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1907/2006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1008/2008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духоплавателни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765/2008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339/93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440/2008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1907/2006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(REACH))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614/2007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(LIFE+)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1907/2006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(REACH),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1999/45/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793/93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488/94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76/769/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91/155/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93/67/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93/105/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2000/21/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1737/2006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2152/2003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1084/2006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1164/94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(EO)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1083/2006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(EO)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1260/1999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1013/2006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166/2006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91/689/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96/61/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2216/2004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2003/87/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280/2004/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торовете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761/2001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СОУОСО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1980/2000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2278/1999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o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3528/86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1264/1999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1164/94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Дата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изтичане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валидността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: 31.12.2006 </w:t>
      </w:r>
      <w:r>
        <w:rPr>
          <w:rFonts w:eastAsia="Times New Roman"/>
          <w:color w:val="FF0000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1260/1999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1390/97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(EO)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1091/94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3528/86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690/95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1091/94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3528/86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1091/94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3528/86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Решения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E665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E6650B" w:rsidRDefault="00E6650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98/433/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хармонизираните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96/82/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нотифицирано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(1998) 1758)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sectPr w:rsidR="00E6650B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4E"/>
    <w:rsid w:val="000A0F4E"/>
    <w:rsid w:val="00E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F7B4C4D-9A14-48B6-9463-0A04DF5A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w.government.bg/" TargetMode="External"/><Relationship Id="rId13" Type="http://schemas.openxmlformats.org/officeDocument/2006/relationships/hyperlink" Target="http://eea.government.bg/" TargetMode="External"/><Relationship Id="rId18" Type="http://schemas.openxmlformats.org/officeDocument/2006/relationships/hyperlink" Target="http://eea.government.b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eea.government.bg/" TargetMode="External"/><Relationship Id="rId12" Type="http://schemas.openxmlformats.org/officeDocument/2006/relationships/hyperlink" Target="https://www.moew.government.bg/" TargetMode="External"/><Relationship Id="rId17" Type="http://schemas.openxmlformats.org/officeDocument/2006/relationships/hyperlink" Target="https://www.moew.government.b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ea.government.b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ea.government.bg/" TargetMode="External"/><Relationship Id="rId11" Type="http://schemas.openxmlformats.org/officeDocument/2006/relationships/hyperlink" Target="https://www.moew.government.bg/" TargetMode="External"/><Relationship Id="rId5" Type="http://schemas.openxmlformats.org/officeDocument/2006/relationships/hyperlink" Target="http://eea.government.bg/" TargetMode="External"/><Relationship Id="rId15" Type="http://schemas.openxmlformats.org/officeDocument/2006/relationships/hyperlink" Target="http://eea.government.bg/" TargetMode="External"/><Relationship Id="rId10" Type="http://schemas.openxmlformats.org/officeDocument/2006/relationships/hyperlink" Target="https://ecofund-bg.org/" TargetMode="External"/><Relationship Id="rId19" Type="http://schemas.openxmlformats.org/officeDocument/2006/relationships/hyperlink" Target="http://www.moew.government.bg/" TargetMode="External"/><Relationship Id="rId4" Type="http://schemas.openxmlformats.org/officeDocument/2006/relationships/hyperlink" Target="http://www.moew.government.bg/" TargetMode="External"/><Relationship Id="rId9" Type="http://schemas.openxmlformats.org/officeDocument/2006/relationships/hyperlink" Target="http://www.moew.government.bg/" TargetMode="External"/><Relationship Id="rId14" Type="http://schemas.openxmlformats.org/officeDocument/2006/relationships/hyperlink" Target="https://eea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148</Pages>
  <Words>67393</Words>
  <Characters>384144</Characters>
  <Application>Microsoft Office Word</Application>
  <DocSecurity>0</DocSecurity>
  <Lines>3201</Lines>
  <Paragraphs>901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2023-03-15T14:14:00Z</dcterms:created>
  <dcterms:modified xsi:type="dcterms:W3CDTF">2023-03-15T14:14:00Z</dcterms:modified>
</cp:coreProperties>
</file>